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1CFCC" w14:textId="77777777" w:rsidR="003A6FAE" w:rsidRPr="007F0DFA" w:rsidRDefault="003A6FAE" w:rsidP="003A6FAE">
      <w:pPr>
        <w:spacing w:line="240" w:lineRule="auto"/>
        <w:jc w:val="center"/>
        <w:rPr>
          <w:rFonts w:ascii="Garamond" w:hAnsi="Garamond"/>
          <w:b/>
          <w:bCs/>
          <w:sz w:val="52"/>
          <w:szCs w:val="52"/>
        </w:rPr>
      </w:pPr>
      <w:r w:rsidRPr="007F0DFA">
        <w:rPr>
          <w:rFonts w:ascii="Garamond" w:hAnsi="Garamond"/>
          <w:b/>
          <w:bCs/>
          <w:sz w:val="52"/>
          <w:szCs w:val="52"/>
        </w:rPr>
        <w:t>Risky Ethics</w:t>
      </w:r>
    </w:p>
    <w:p w14:paraId="13BDB847" w14:textId="7C6D00EB" w:rsidR="003A6FAE" w:rsidRPr="007F0DFA" w:rsidRDefault="003A6FAE" w:rsidP="003A6FAE">
      <w:pPr>
        <w:spacing w:line="240" w:lineRule="auto"/>
        <w:jc w:val="center"/>
        <w:rPr>
          <w:rFonts w:ascii="Garamond" w:hAnsi="Garamond"/>
          <w:b/>
          <w:bCs/>
          <w:sz w:val="28"/>
          <w:szCs w:val="28"/>
        </w:rPr>
      </w:pPr>
      <w:r>
        <w:rPr>
          <w:rFonts w:ascii="Garamond" w:hAnsi="Garamond"/>
          <w:b/>
          <w:bCs/>
          <w:sz w:val="28"/>
          <w:szCs w:val="28"/>
        </w:rPr>
        <w:t>Week 6: Constraints</w:t>
      </w:r>
    </w:p>
    <w:p w14:paraId="7053364F" w14:textId="77777777" w:rsidR="003A6FAE" w:rsidRDefault="003A6FAE" w:rsidP="003A6FAE">
      <w:pPr>
        <w:spacing w:line="240" w:lineRule="auto"/>
        <w:jc w:val="center"/>
        <w:rPr>
          <w:rFonts w:ascii="Garamond" w:hAnsi="Garamond"/>
          <w:i/>
          <w:iCs/>
          <w:sz w:val="28"/>
          <w:szCs w:val="28"/>
        </w:rPr>
      </w:pPr>
      <w:r w:rsidRPr="007F0DFA">
        <w:rPr>
          <w:rFonts w:ascii="Garamond" w:hAnsi="Garamond"/>
          <w:i/>
          <w:iCs/>
          <w:sz w:val="28"/>
          <w:szCs w:val="28"/>
        </w:rPr>
        <w:t>Emma J. Curran</w:t>
      </w:r>
    </w:p>
    <w:p w14:paraId="43576F95" w14:textId="77777777" w:rsidR="003A6FAE" w:rsidRDefault="003A6FAE" w:rsidP="003A6FAE">
      <w:pPr>
        <w:spacing w:line="240" w:lineRule="auto"/>
        <w:rPr>
          <w:rFonts w:ascii="Garamond" w:hAnsi="Garamond"/>
        </w:rPr>
      </w:pPr>
    </w:p>
    <w:p w14:paraId="79DD5469" w14:textId="77777777" w:rsidR="00A474C8" w:rsidRPr="007F0DFA" w:rsidRDefault="00A474C8" w:rsidP="00A474C8">
      <w:pPr>
        <w:spacing w:line="240" w:lineRule="auto"/>
        <w:rPr>
          <w:rFonts w:ascii="Garamond" w:hAnsi="Garamond"/>
          <w:b/>
          <w:bCs/>
        </w:rPr>
      </w:pPr>
      <w:r w:rsidRPr="007F0DFA">
        <w:rPr>
          <w:rFonts w:ascii="Garamond" w:hAnsi="Garamond"/>
          <w:b/>
          <w:bCs/>
        </w:rPr>
        <w:t xml:space="preserve">Overview. </w:t>
      </w:r>
    </w:p>
    <w:p w14:paraId="78E75764" w14:textId="2FB54B43" w:rsidR="00A474C8" w:rsidRDefault="00BD6FD7" w:rsidP="00F67CD9">
      <w:pPr>
        <w:spacing w:line="240" w:lineRule="auto"/>
        <w:jc w:val="both"/>
        <w:rPr>
          <w:rFonts w:ascii="Garamond" w:hAnsi="Garamond"/>
        </w:rPr>
      </w:pPr>
      <w:r>
        <w:rPr>
          <w:rFonts w:ascii="Garamond" w:hAnsi="Garamond"/>
        </w:rPr>
        <w:t>Deontological theories often feature constraints, such as constraints against using someone as a mere means</w:t>
      </w:r>
      <w:r w:rsidR="00F67CD9">
        <w:rPr>
          <w:rFonts w:ascii="Garamond" w:hAnsi="Garamond"/>
        </w:rPr>
        <w:t xml:space="preserve">. Despite the intuitive force of these constraints, there run into a series of problems when applied to conditions of risk. Caspar Hare demonstrate that, when understood </w:t>
      </w:r>
      <w:r w:rsidR="00F67CD9" w:rsidRPr="00F67CD9">
        <w:rPr>
          <w:rFonts w:ascii="Garamond" w:hAnsi="Garamond"/>
          <w:i/>
          <w:iCs/>
        </w:rPr>
        <w:t>ex-post</w:t>
      </w:r>
      <w:r w:rsidR="00F67CD9">
        <w:rPr>
          <w:rFonts w:ascii="Garamond" w:hAnsi="Garamond"/>
        </w:rPr>
        <w:t xml:space="preserve">, moral constraints violate a plausible principle about deontic agglomeration.  Kacper Kowalczyk demonstrates that when interpreted </w:t>
      </w:r>
      <w:r w:rsidR="00F67CD9" w:rsidRPr="00F67CD9">
        <w:rPr>
          <w:rFonts w:ascii="Garamond" w:hAnsi="Garamond"/>
          <w:i/>
          <w:iCs/>
        </w:rPr>
        <w:t>ex-ante</w:t>
      </w:r>
      <w:r w:rsidR="00F67CD9">
        <w:rPr>
          <w:rFonts w:ascii="Garamond" w:hAnsi="Garamond"/>
        </w:rPr>
        <w:t xml:space="preserve">, moral theories with constraints violate sequential Pareto. </w:t>
      </w:r>
    </w:p>
    <w:p w14:paraId="3CD7EF9D" w14:textId="77777777" w:rsidR="00BD6FD7" w:rsidRPr="00BD6FD7" w:rsidRDefault="00BD6FD7" w:rsidP="00A474C8">
      <w:pPr>
        <w:spacing w:line="240" w:lineRule="auto"/>
        <w:rPr>
          <w:rFonts w:ascii="Garamond" w:hAnsi="Garamond"/>
        </w:rPr>
      </w:pPr>
    </w:p>
    <w:p w14:paraId="5E108EC3" w14:textId="19B69D9E" w:rsidR="00A474C8" w:rsidRPr="000B1F89" w:rsidRDefault="00A474C8" w:rsidP="00A474C8">
      <w:pPr>
        <w:spacing w:line="240" w:lineRule="auto"/>
        <w:rPr>
          <w:rFonts w:ascii="Garamond" w:hAnsi="Garamond"/>
          <w:b/>
          <w:bCs/>
        </w:rPr>
      </w:pPr>
      <w:r>
        <w:rPr>
          <w:rFonts w:ascii="Garamond" w:hAnsi="Garamond"/>
          <w:b/>
          <w:bCs/>
        </w:rPr>
        <w:t>Caspar Hare’s ‘Should We Wish Well to All?’</w:t>
      </w:r>
    </w:p>
    <w:p w14:paraId="5B8E4A77" w14:textId="529B62A7" w:rsidR="004E398B" w:rsidRDefault="00A474C8" w:rsidP="00EB2F7F">
      <w:pPr>
        <w:pStyle w:val="ListParagraph"/>
        <w:numPr>
          <w:ilvl w:val="0"/>
          <w:numId w:val="1"/>
        </w:numPr>
        <w:spacing w:line="240" w:lineRule="auto"/>
        <w:rPr>
          <w:rFonts w:ascii="Garamond" w:hAnsi="Garamond"/>
        </w:rPr>
      </w:pPr>
      <w:r>
        <w:rPr>
          <w:rFonts w:ascii="Garamond" w:hAnsi="Garamond"/>
        </w:rPr>
        <w:t>What does Hare mean by ‘morality’ and ‘reasonable beneficence’? How does he contrast these?</w:t>
      </w:r>
      <w:r w:rsidR="00BD6FD7">
        <w:rPr>
          <w:rFonts w:ascii="Garamond" w:hAnsi="Garamond"/>
        </w:rPr>
        <w:t xml:space="preserve"> </w:t>
      </w:r>
    </w:p>
    <w:p w14:paraId="4A3D0AB9" w14:textId="77777777" w:rsidR="00EB2F7F" w:rsidRPr="004E398B" w:rsidRDefault="00EB2F7F" w:rsidP="00EB2F7F">
      <w:pPr>
        <w:pStyle w:val="ListParagraph"/>
        <w:spacing w:line="240" w:lineRule="auto"/>
        <w:rPr>
          <w:rFonts w:ascii="Garamond" w:hAnsi="Garamond"/>
        </w:rPr>
      </w:pPr>
    </w:p>
    <w:p w14:paraId="755F13FA" w14:textId="60B077E1" w:rsidR="004E398B" w:rsidRDefault="0067104D" w:rsidP="00A474C8">
      <w:pPr>
        <w:pStyle w:val="ListParagraph"/>
        <w:numPr>
          <w:ilvl w:val="0"/>
          <w:numId w:val="1"/>
        </w:numPr>
        <w:spacing w:line="240" w:lineRule="auto"/>
        <w:rPr>
          <w:rFonts w:ascii="Garamond" w:hAnsi="Garamond"/>
        </w:rPr>
      </w:pPr>
      <w:r>
        <w:rPr>
          <w:rFonts w:ascii="Garamond" w:hAnsi="Garamond"/>
        </w:rPr>
        <w:t>What are ‘constraints-against-bad-killing’ theories? How does Hare show that constraint-against-bad-killing theories generate conflicts between reasonable beneficence and morality?</w:t>
      </w:r>
    </w:p>
    <w:p w14:paraId="466ACD83" w14:textId="77777777" w:rsidR="0067104D" w:rsidRPr="0067104D" w:rsidRDefault="0067104D" w:rsidP="0067104D">
      <w:pPr>
        <w:pStyle w:val="ListParagraph"/>
        <w:rPr>
          <w:rFonts w:ascii="Garamond" w:hAnsi="Garamond"/>
        </w:rPr>
      </w:pPr>
    </w:p>
    <w:p w14:paraId="31DB5579" w14:textId="613FD7E8" w:rsidR="0067104D" w:rsidRDefault="0067104D" w:rsidP="00A474C8">
      <w:pPr>
        <w:pStyle w:val="ListParagraph"/>
        <w:numPr>
          <w:ilvl w:val="0"/>
          <w:numId w:val="1"/>
        </w:numPr>
        <w:spacing w:line="240" w:lineRule="auto"/>
        <w:rPr>
          <w:rFonts w:ascii="Garamond" w:hAnsi="Garamond"/>
        </w:rPr>
      </w:pPr>
      <w:r>
        <w:rPr>
          <w:rFonts w:ascii="Garamond" w:hAnsi="Garamond"/>
        </w:rPr>
        <w:t>Speaking of Fleurbaey and Voorhoeve’s argument against the ex-ante Pareto principle, Hare says “[</w:t>
      </w:r>
      <w:proofErr w:type="spellStart"/>
      <w:r>
        <w:rPr>
          <w:rFonts w:ascii="Garamond" w:hAnsi="Garamond"/>
        </w:rPr>
        <w:t>i</w:t>
      </w:r>
      <w:proofErr w:type="spellEnd"/>
      <w:r>
        <w:rPr>
          <w:rFonts w:ascii="Garamond" w:hAnsi="Garamond"/>
        </w:rPr>
        <w:t>]n cases like this, where things of incommensurable value (like people’s lives) are at stake, it makes perfect sense to resist the judgments of your better informed self.” Why might this be true? Do you find this plausible?</w:t>
      </w:r>
    </w:p>
    <w:p w14:paraId="0E174A4F" w14:textId="77777777" w:rsidR="0067104D" w:rsidRPr="0067104D" w:rsidRDefault="0067104D" w:rsidP="0067104D">
      <w:pPr>
        <w:pStyle w:val="ListParagraph"/>
        <w:rPr>
          <w:rFonts w:ascii="Garamond" w:hAnsi="Garamond"/>
        </w:rPr>
      </w:pPr>
    </w:p>
    <w:p w14:paraId="760DE501" w14:textId="32CBF79E" w:rsidR="0067104D" w:rsidRDefault="00CA7B2E" w:rsidP="00A474C8">
      <w:pPr>
        <w:pStyle w:val="ListParagraph"/>
        <w:numPr>
          <w:ilvl w:val="0"/>
          <w:numId w:val="1"/>
        </w:numPr>
        <w:spacing w:line="240" w:lineRule="auto"/>
        <w:rPr>
          <w:rFonts w:ascii="Garamond" w:hAnsi="Garamond"/>
        </w:rPr>
      </w:pPr>
      <w:r>
        <w:rPr>
          <w:rFonts w:ascii="Garamond" w:hAnsi="Garamond"/>
        </w:rPr>
        <w:t>What are the first two arguments Hare discusses for the claim that extreme progressivism and constraint-against-bad-killings are mistaken about reasonable beneficence (p.457)?</w:t>
      </w:r>
    </w:p>
    <w:p w14:paraId="54369323" w14:textId="77777777" w:rsidR="00CA7B2E" w:rsidRPr="00CA7B2E" w:rsidRDefault="00CA7B2E" w:rsidP="00CA7B2E">
      <w:pPr>
        <w:pStyle w:val="ListParagraph"/>
        <w:rPr>
          <w:rFonts w:ascii="Garamond" w:hAnsi="Garamond"/>
        </w:rPr>
      </w:pPr>
    </w:p>
    <w:p w14:paraId="3EEE6558" w14:textId="5AC3264A" w:rsidR="00977D49" w:rsidRPr="00BD6FD7" w:rsidRDefault="00CA7B2E" w:rsidP="00BD6FD7">
      <w:pPr>
        <w:pStyle w:val="ListParagraph"/>
        <w:numPr>
          <w:ilvl w:val="0"/>
          <w:numId w:val="1"/>
        </w:numPr>
        <w:spacing w:line="240" w:lineRule="auto"/>
        <w:rPr>
          <w:rFonts w:ascii="Garamond" w:hAnsi="Garamond"/>
        </w:rPr>
      </w:pPr>
      <w:r>
        <w:rPr>
          <w:rFonts w:ascii="Garamond" w:hAnsi="Garamond"/>
        </w:rPr>
        <w:t>What is the basic idea behind Hare’s argument from composition?</w:t>
      </w:r>
      <w:r w:rsidR="00BD6FD7">
        <w:rPr>
          <w:rFonts w:ascii="Garamond" w:hAnsi="Garamond"/>
        </w:rPr>
        <w:t xml:space="preserve"> </w:t>
      </w:r>
      <w:r w:rsidR="00977D49" w:rsidRPr="00BD6FD7">
        <w:rPr>
          <w:rFonts w:ascii="Garamond" w:hAnsi="Garamond"/>
        </w:rPr>
        <w:t>What is the Six Tracks case?</w:t>
      </w:r>
    </w:p>
    <w:p w14:paraId="0A11250F" w14:textId="77777777" w:rsidR="00977D49" w:rsidRPr="00977D49" w:rsidRDefault="00977D49" w:rsidP="00977D49">
      <w:pPr>
        <w:pStyle w:val="ListParagraph"/>
        <w:rPr>
          <w:rFonts w:ascii="Garamond" w:hAnsi="Garamond"/>
        </w:rPr>
      </w:pPr>
    </w:p>
    <w:p w14:paraId="0FDC1B54" w14:textId="0E709961" w:rsidR="00977D49" w:rsidRDefault="00977D49" w:rsidP="00A474C8">
      <w:pPr>
        <w:pStyle w:val="ListParagraph"/>
        <w:numPr>
          <w:ilvl w:val="0"/>
          <w:numId w:val="1"/>
        </w:numPr>
        <w:spacing w:line="240" w:lineRule="auto"/>
        <w:rPr>
          <w:rFonts w:ascii="Garamond" w:hAnsi="Garamond"/>
        </w:rPr>
      </w:pPr>
      <w:r>
        <w:rPr>
          <w:rFonts w:ascii="Garamond" w:hAnsi="Garamond"/>
        </w:rPr>
        <w:t xml:space="preserve">What is premise one of Hare’s </w:t>
      </w:r>
      <w:proofErr w:type="gramStart"/>
      <w:r>
        <w:rPr>
          <w:rFonts w:ascii="Garamond" w:hAnsi="Garamond"/>
        </w:rPr>
        <w:t>argument</w:t>
      </w:r>
      <w:proofErr w:type="gramEnd"/>
      <w:r>
        <w:rPr>
          <w:rFonts w:ascii="Garamond" w:hAnsi="Garamond"/>
        </w:rPr>
        <w:t>? What reasons do we have to accept or reject it? Is the Surgeon example an appropriate analogue?</w:t>
      </w:r>
    </w:p>
    <w:p w14:paraId="43F00559" w14:textId="77777777" w:rsidR="00977D49" w:rsidRPr="00977D49" w:rsidRDefault="00977D49" w:rsidP="00977D49">
      <w:pPr>
        <w:pStyle w:val="ListParagraph"/>
        <w:rPr>
          <w:rFonts w:ascii="Garamond" w:hAnsi="Garamond"/>
        </w:rPr>
      </w:pPr>
    </w:p>
    <w:p w14:paraId="3EE074DD" w14:textId="49A603E7" w:rsidR="00977D49" w:rsidRDefault="00977D49" w:rsidP="00A474C8">
      <w:pPr>
        <w:pStyle w:val="ListParagraph"/>
        <w:numPr>
          <w:ilvl w:val="0"/>
          <w:numId w:val="1"/>
        </w:numPr>
        <w:spacing w:line="240" w:lineRule="auto"/>
        <w:rPr>
          <w:rFonts w:ascii="Garamond" w:hAnsi="Garamond"/>
        </w:rPr>
      </w:pPr>
      <w:r>
        <w:rPr>
          <w:rFonts w:ascii="Garamond" w:hAnsi="Garamond"/>
        </w:rPr>
        <w:t>What is premise two of Hare’s argument? Is it plausible? What’s the difference between weak agglomeration and strong agglomeration?</w:t>
      </w:r>
    </w:p>
    <w:p w14:paraId="3BF48562" w14:textId="77777777" w:rsidR="003947B8" w:rsidRPr="003947B8" w:rsidRDefault="003947B8" w:rsidP="003947B8">
      <w:pPr>
        <w:pStyle w:val="ListParagraph"/>
        <w:rPr>
          <w:rFonts w:ascii="Garamond" w:hAnsi="Garamond"/>
        </w:rPr>
      </w:pPr>
    </w:p>
    <w:p w14:paraId="6C02A157" w14:textId="57178D44" w:rsidR="003947B8" w:rsidRDefault="003947B8" w:rsidP="00A474C8">
      <w:pPr>
        <w:pStyle w:val="ListParagraph"/>
        <w:numPr>
          <w:ilvl w:val="0"/>
          <w:numId w:val="1"/>
        </w:numPr>
        <w:spacing w:line="240" w:lineRule="auto"/>
        <w:rPr>
          <w:rFonts w:ascii="Garamond" w:hAnsi="Garamond"/>
        </w:rPr>
      </w:pPr>
      <w:r>
        <w:rPr>
          <w:rFonts w:ascii="Garamond" w:hAnsi="Garamond"/>
        </w:rPr>
        <w:t xml:space="preserve">How is Six Tracks different from Footbridge with Suitcases? How does Hare overcome this </w:t>
      </w:r>
      <w:r w:rsidR="00BD6FD7">
        <w:rPr>
          <w:rFonts w:ascii="Garamond" w:hAnsi="Garamond"/>
        </w:rPr>
        <w:t>disanalogy</w:t>
      </w:r>
      <w:r>
        <w:rPr>
          <w:rFonts w:ascii="Garamond" w:hAnsi="Garamond"/>
        </w:rPr>
        <w:t>?</w:t>
      </w:r>
    </w:p>
    <w:p w14:paraId="6AC1589E" w14:textId="77777777" w:rsidR="003947B8" w:rsidRPr="003947B8" w:rsidRDefault="003947B8" w:rsidP="003947B8">
      <w:pPr>
        <w:pStyle w:val="ListParagraph"/>
        <w:rPr>
          <w:rFonts w:ascii="Garamond" w:hAnsi="Garamond"/>
        </w:rPr>
      </w:pPr>
    </w:p>
    <w:p w14:paraId="78763AF9" w14:textId="13F8E701" w:rsidR="003947B8" w:rsidRDefault="003947B8" w:rsidP="00A474C8">
      <w:pPr>
        <w:pStyle w:val="ListParagraph"/>
        <w:numPr>
          <w:ilvl w:val="0"/>
          <w:numId w:val="1"/>
        </w:numPr>
        <w:spacing w:line="240" w:lineRule="auto"/>
        <w:rPr>
          <w:rFonts w:ascii="Garamond" w:hAnsi="Garamond"/>
        </w:rPr>
      </w:pPr>
      <w:r>
        <w:rPr>
          <w:rFonts w:ascii="Garamond" w:hAnsi="Garamond"/>
        </w:rPr>
        <w:lastRenderedPageBreak/>
        <w:t>In his discussion of Two Parallel Tracks and Six Buttons, what does Hare mean by saying a decision is ‘private’? What is ‘defeasible privacy’? How are these concepts relevant to his argument?</w:t>
      </w:r>
    </w:p>
    <w:p w14:paraId="2DB76317" w14:textId="77777777" w:rsidR="004D4894" w:rsidRPr="004D4894" w:rsidRDefault="004D4894" w:rsidP="004D4894">
      <w:pPr>
        <w:pStyle w:val="ListParagraph"/>
        <w:rPr>
          <w:rFonts w:ascii="Garamond" w:hAnsi="Garamond"/>
        </w:rPr>
      </w:pPr>
    </w:p>
    <w:p w14:paraId="48A99B4B" w14:textId="3A87ACDD" w:rsidR="004D4894" w:rsidRDefault="004D4894" w:rsidP="00A474C8">
      <w:pPr>
        <w:pStyle w:val="ListParagraph"/>
        <w:numPr>
          <w:ilvl w:val="0"/>
          <w:numId w:val="1"/>
        </w:numPr>
        <w:spacing w:line="240" w:lineRule="auto"/>
        <w:rPr>
          <w:rFonts w:ascii="Garamond" w:hAnsi="Garamond"/>
        </w:rPr>
      </w:pPr>
      <w:r>
        <w:rPr>
          <w:rFonts w:ascii="Garamond" w:hAnsi="Garamond"/>
        </w:rPr>
        <w:t>What are the two sets of norms which Hare has shown to be inconsistent?</w:t>
      </w:r>
      <w:r w:rsidR="00F67CD9">
        <w:rPr>
          <w:rFonts w:ascii="Garamond" w:hAnsi="Garamond"/>
        </w:rPr>
        <w:t xml:space="preserve"> What are the larger upshots for ex-post theorising? </w:t>
      </w:r>
    </w:p>
    <w:p w14:paraId="6A3D18B6" w14:textId="77777777" w:rsidR="00F4623E" w:rsidRPr="00F4623E" w:rsidRDefault="00F4623E" w:rsidP="00F4623E">
      <w:pPr>
        <w:pStyle w:val="ListParagraph"/>
        <w:rPr>
          <w:rFonts w:ascii="Garamond" w:hAnsi="Garamond"/>
        </w:rPr>
      </w:pPr>
    </w:p>
    <w:p w14:paraId="22C7E8DD" w14:textId="2FB0702D" w:rsidR="00F4623E" w:rsidRDefault="00F4623E" w:rsidP="00A474C8">
      <w:pPr>
        <w:pStyle w:val="ListParagraph"/>
        <w:numPr>
          <w:ilvl w:val="0"/>
          <w:numId w:val="1"/>
        </w:numPr>
        <w:spacing w:line="240" w:lineRule="auto"/>
        <w:rPr>
          <w:rFonts w:ascii="Garamond" w:hAnsi="Garamond"/>
        </w:rPr>
      </w:pPr>
      <w:r>
        <w:rPr>
          <w:rFonts w:ascii="Garamond" w:hAnsi="Garamond"/>
        </w:rPr>
        <w:t xml:space="preserve">Why is Hare concerned with discussing ‘nearby </w:t>
      </w:r>
      <w:proofErr w:type="gramStart"/>
      <w:r>
        <w:rPr>
          <w:rFonts w:ascii="Garamond" w:hAnsi="Garamond"/>
        </w:rPr>
        <w:t>cases’</w:t>
      </w:r>
      <w:proofErr w:type="gramEnd"/>
      <w:r>
        <w:rPr>
          <w:rFonts w:ascii="Garamond" w:hAnsi="Garamond"/>
        </w:rPr>
        <w:t>? What are the variants he considers?</w:t>
      </w:r>
    </w:p>
    <w:p w14:paraId="30D7F128" w14:textId="77777777" w:rsidR="00F4623E" w:rsidRPr="00F4623E" w:rsidRDefault="00F4623E" w:rsidP="00F4623E">
      <w:pPr>
        <w:pStyle w:val="ListParagraph"/>
        <w:rPr>
          <w:rFonts w:ascii="Garamond" w:hAnsi="Garamond"/>
        </w:rPr>
      </w:pPr>
    </w:p>
    <w:p w14:paraId="5EB069CE" w14:textId="0E27AF56" w:rsidR="00F4623E" w:rsidRDefault="0047281D" w:rsidP="00A474C8">
      <w:pPr>
        <w:pStyle w:val="ListParagraph"/>
        <w:numPr>
          <w:ilvl w:val="0"/>
          <w:numId w:val="1"/>
        </w:numPr>
        <w:spacing w:line="240" w:lineRule="auto"/>
        <w:rPr>
          <w:rFonts w:ascii="Garamond" w:hAnsi="Garamond"/>
        </w:rPr>
      </w:pPr>
      <w:r>
        <w:rPr>
          <w:rFonts w:ascii="Garamond" w:hAnsi="Garamond"/>
        </w:rPr>
        <w:t xml:space="preserve">In §6, Hare discusses the known victim cases. How does his discussion interact with our previous discussion of </w:t>
      </w:r>
      <w:r w:rsidRPr="0047281D">
        <w:rPr>
          <w:rFonts w:ascii="Garamond" w:hAnsi="Garamond"/>
          <w:i/>
          <w:iCs/>
        </w:rPr>
        <w:t>ex-post</w:t>
      </w:r>
      <w:r>
        <w:rPr>
          <w:rFonts w:ascii="Garamond" w:hAnsi="Garamond"/>
        </w:rPr>
        <w:t xml:space="preserve"> </w:t>
      </w:r>
      <w:proofErr w:type="spellStart"/>
      <w:r>
        <w:rPr>
          <w:rFonts w:ascii="Garamond" w:hAnsi="Garamond"/>
        </w:rPr>
        <w:t>designators</w:t>
      </w:r>
      <w:proofErr w:type="spellEnd"/>
      <w:r>
        <w:rPr>
          <w:rFonts w:ascii="Garamond" w:hAnsi="Garamond"/>
        </w:rPr>
        <w:t xml:space="preserve">? </w:t>
      </w:r>
    </w:p>
    <w:p w14:paraId="394172F5" w14:textId="77777777" w:rsidR="0047281D" w:rsidRPr="0047281D" w:rsidRDefault="0047281D" w:rsidP="0047281D">
      <w:pPr>
        <w:spacing w:line="240" w:lineRule="auto"/>
        <w:rPr>
          <w:rFonts w:ascii="Garamond" w:hAnsi="Garamond"/>
        </w:rPr>
      </w:pPr>
    </w:p>
    <w:p w14:paraId="3F4774DA" w14:textId="77777777" w:rsidR="00A474C8" w:rsidRDefault="00A474C8" w:rsidP="00A474C8">
      <w:pPr>
        <w:spacing w:line="240" w:lineRule="auto"/>
        <w:rPr>
          <w:rFonts w:ascii="Garamond" w:hAnsi="Garamond"/>
          <w:b/>
          <w:bCs/>
        </w:rPr>
      </w:pPr>
    </w:p>
    <w:p w14:paraId="5E24ACC8" w14:textId="7A369E37" w:rsidR="004D4894" w:rsidRDefault="00A474C8" w:rsidP="00A474C8">
      <w:pPr>
        <w:spacing w:line="240" w:lineRule="auto"/>
        <w:rPr>
          <w:rFonts w:ascii="Garamond" w:hAnsi="Garamond"/>
          <w:b/>
          <w:bCs/>
        </w:rPr>
      </w:pPr>
      <w:r>
        <w:rPr>
          <w:rFonts w:ascii="Garamond" w:hAnsi="Garamond"/>
          <w:b/>
          <w:bCs/>
        </w:rPr>
        <w:t xml:space="preserve">Kacper Kowalczyk’s ‘People </w:t>
      </w:r>
      <w:r w:rsidR="00F67CD9">
        <w:rPr>
          <w:rFonts w:ascii="Garamond" w:hAnsi="Garamond"/>
          <w:b/>
          <w:bCs/>
        </w:rPr>
        <w:t>in</w:t>
      </w:r>
      <w:r>
        <w:rPr>
          <w:rFonts w:ascii="Garamond" w:hAnsi="Garamond"/>
          <w:b/>
          <w:bCs/>
        </w:rPr>
        <w:t xml:space="preserve"> Suitcases’</w:t>
      </w:r>
    </w:p>
    <w:p w14:paraId="38FFE03C" w14:textId="1A033CAD" w:rsidR="00A474C8" w:rsidRDefault="007629C3" w:rsidP="00A474C8">
      <w:pPr>
        <w:pStyle w:val="ListParagraph"/>
        <w:numPr>
          <w:ilvl w:val="0"/>
          <w:numId w:val="1"/>
        </w:numPr>
        <w:spacing w:line="240" w:lineRule="auto"/>
        <w:rPr>
          <w:rFonts w:ascii="Garamond" w:hAnsi="Garamond"/>
        </w:rPr>
      </w:pPr>
      <w:r>
        <w:rPr>
          <w:rFonts w:ascii="Garamond" w:hAnsi="Garamond"/>
        </w:rPr>
        <w:t xml:space="preserve">What are permissivism, </w:t>
      </w:r>
      <w:r w:rsidRPr="00EB2F7F">
        <w:rPr>
          <w:rFonts w:ascii="Garamond" w:hAnsi="Garamond"/>
          <w:i/>
          <w:iCs/>
        </w:rPr>
        <w:t>ex-post</w:t>
      </w:r>
      <w:r>
        <w:rPr>
          <w:rFonts w:ascii="Garamond" w:hAnsi="Garamond"/>
        </w:rPr>
        <w:t xml:space="preserve"> deontology and ex-ante deontology, and what do each say about Opaque Footbridge?</w:t>
      </w:r>
    </w:p>
    <w:p w14:paraId="04EE80B9" w14:textId="77777777" w:rsidR="00F67CD9" w:rsidRDefault="00F67CD9" w:rsidP="00F67CD9">
      <w:pPr>
        <w:pStyle w:val="ListParagraph"/>
        <w:spacing w:line="240" w:lineRule="auto"/>
        <w:rPr>
          <w:rFonts w:ascii="Garamond" w:hAnsi="Garamond"/>
        </w:rPr>
      </w:pPr>
    </w:p>
    <w:p w14:paraId="037EE116" w14:textId="77777777" w:rsidR="00081129" w:rsidRDefault="007629C3" w:rsidP="00081129">
      <w:pPr>
        <w:pStyle w:val="ListParagraph"/>
        <w:numPr>
          <w:ilvl w:val="0"/>
          <w:numId w:val="1"/>
        </w:numPr>
        <w:spacing w:line="240" w:lineRule="auto"/>
        <w:rPr>
          <w:rFonts w:ascii="Garamond" w:hAnsi="Garamond"/>
        </w:rPr>
      </w:pPr>
      <w:r>
        <w:rPr>
          <w:rFonts w:ascii="Garamond" w:hAnsi="Garamond"/>
        </w:rPr>
        <w:t>What Nozickian reasoning does Kowalczyk give to support the claim that the ex-ante perspective should appeal to deontologists?</w:t>
      </w:r>
    </w:p>
    <w:p w14:paraId="358DB247" w14:textId="77777777" w:rsidR="00081129" w:rsidRPr="00081129" w:rsidRDefault="00081129" w:rsidP="00081129">
      <w:pPr>
        <w:pStyle w:val="ListParagraph"/>
        <w:rPr>
          <w:rFonts w:ascii="Garamond" w:hAnsi="Garamond"/>
        </w:rPr>
      </w:pPr>
    </w:p>
    <w:p w14:paraId="2DD18023" w14:textId="27730B22" w:rsidR="00BD6FD7" w:rsidRPr="00081129" w:rsidRDefault="00BD6FD7" w:rsidP="00081129">
      <w:pPr>
        <w:pStyle w:val="ListParagraph"/>
        <w:numPr>
          <w:ilvl w:val="0"/>
          <w:numId w:val="1"/>
        </w:numPr>
        <w:spacing w:line="240" w:lineRule="auto"/>
        <w:rPr>
          <w:rFonts w:ascii="Garamond" w:hAnsi="Garamond"/>
        </w:rPr>
      </w:pPr>
      <w:r w:rsidRPr="00081129">
        <w:rPr>
          <w:rFonts w:ascii="Garamond" w:hAnsi="Garamond"/>
        </w:rPr>
        <w:t>What is the problem with ex-ante deontology’s assessment of Case One? What is sequential Pareto?</w:t>
      </w:r>
    </w:p>
    <w:p w14:paraId="6CEA90F4" w14:textId="77777777" w:rsidR="00EB2F7F" w:rsidRDefault="00EB2F7F" w:rsidP="00EB2F7F">
      <w:pPr>
        <w:pStyle w:val="ListParagraph"/>
        <w:spacing w:line="240" w:lineRule="auto"/>
        <w:rPr>
          <w:rFonts w:ascii="Garamond" w:hAnsi="Garamond"/>
        </w:rPr>
      </w:pPr>
    </w:p>
    <w:p w14:paraId="569E6542" w14:textId="608A560F" w:rsidR="00EB2F7F" w:rsidRDefault="00EB2F7F" w:rsidP="00A474C8">
      <w:pPr>
        <w:pStyle w:val="ListParagraph"/>
        <w:numPr>
          <w:ilvl w:val="0"/>
          <w:numId w:val="1"/>
        </w:numPr>
        <w:spacing w:line="240" w:lineRule="auto"/>
        <w:rPr>
          <w:rFonts w:ascii="Garamond" w:hAnsi="Garamond"/>
        </w:rPr>
      </w:pPr>
      <w:r>
        <w:rPr>
          <w:rFonts w:ascii="Garamond" w:hAnsi="Garamond"/>
        </w:rPr>
        <w:t>What does Hare’s view say about Case One? What are the other reasons Kowalczyk has for being suspicious of Hare’s view?</w:t>
      </w:r>
    </w:p>
    <w:p w14:paraId="3C7F1629" w14:textId="77777777" w:rsidR="00EB2F7F" w:rsidRPr="00EB2F7F" w:rsidRDefault="00EB2F7F" w:rsidP="00EB2F7F">
      <w:pPr>
        <w:pStyle w:val="ListParagraph"/>
        <w:rPr>
          <w:rFonts w:ascii="Garamond" w:hAnsi="Garamond"/>
        </w:rPr>
      </w:pPr>
    </w:p>
    <w:p w14:paraId="48A9FDEC" w14:textId="6A3AE552" w:rsidR="00EB2F7F" w:rsidRDefault="00EB2F7F" w:rsidP="00A474C8">
      <w:pPr>
        <w:pStyle w:val="ListParagraph"/>
        <w:numPr>
          <w:ilvl w:val="0"/>
          <w:numId w:val="1"/>
        </w:numPr>
        <w:spacing w:line="240" w:lineRule="auto"/>
        <w:rPr>
          <w:rFonts w:ascii="Garamond" w:hAnsi="Garamond"/>
        </w:rPr>
      </w:pPr>
      <w:r>
        <w:rPr>
          <w:rFonts w:ascii="Garamond" w:hAnsi="Garamond"/>
        </w:rPr>
        <w:t xml:space="preserve">What is ‘sophisticated ex-ante deontology’? How might it deal with the problem posed by Case One? How does it fail </w:t>
      </w:r>
      <w:r w:rsidR="00272122">
        <w:rPr>
          <w:rFonts w:ascii="Garamond" w:hAnsi="Garamond"/>
        </w:rPr>
        <w:t>in</w:t>
      </w:r>
      <w:r>
        <w:rPr>
          <w:rFonts w:ascii="Garamond" w:hAnsi="Garamond"/>
        </w:rPr>
        <w:t xml:space="preserve"> Case Two?</w:t>
      </w:r>
    </w:p>
    <w:p w14:paraId="13113973" w14:textId="77777777" w:rsidR="00272122" w:rsidRPr="00272122" w:rsidRDefault="00272122" w:rsidP="00272122">
      <w:pPr>
        <w:pStyle w:val="ListParagraph"/>
        <w:rPr>
          <w:rFonts w:ascii="Garamond" w:hAnsi="Garamond"/>
        </w:rPr>
      </w:pPr>
    </w:p>
    <w:p w14:paraId="15A83192" w14:textId="77777777" w:rsidR="00272122" w:rsidRDefault="00272122" w:rsidP="00A474C8">
      <w:pPr>
        <w:pStyle w:val="ListParagraph"/>
        <w:numPr>
          <w:ilvl w:val="0"/>
          <w:numId w:val="1"/>
        </w:numPr>
        <w:spacing w:line="240" w:lineRule="auto"/>
        <w:rPr>
          <w:rFonts w:ascii="Garamond" w:hAnsi="Garamond"/>
        </w:rPr>
      </w:pPr>
      <w:r>
        <w:rPr>
          <w:rFonts w:ascii="Garamond" w:hAnsi="Garamond"/>
        </w:rPr>
        <w:t>What is ‘resolute ex-ante deontology’? How does it deal with the cases presented? Is it independently plausible?</w:t>
      </w:r>
    </w:p>
    <w:p w14:paraId="70826735" w14:textId="77777777" w:rsidR="00272122" w:rsidRPr="00272122" w:rsidRDefault="00272122" w:rsidP="00272122">
      <w:pPr>
        <w:pStyle w:val="ListParagraph"/>
        <w:rPr>
          <w:rFonts w:ascii="Garamond" w:hAnsi="Garamond"/>
        </w:rPr>
      </w:pPr>
    </w:p>
    <w:p w14:paraId="705F4CC6" w14:textId="4DB3182B" w:rsidR="00272122" w:rsidRPr="007629C3" w:rsidRDefault="00081129" w:rsidP="00A474C8">
      <w:pPr>
        <w:pStyle w:val="ListParagraph"/>
        <w:numPr>
          <w:ilvl w:val="0"/>
          <w:numId w:val="1"/>
        </w:numPr>
        <w:spacing w:line="240" w:lineRule="auto"/>
        <w:rPr>
          <w:rFonts w:ascii="Garamond" w:hAnsi="Garamond"/>
        </w:rPr>
      </w:pPr>
      <w:r>
        <w:rPr>
          <w:rFonts w:ascii="Garamond" w:hAnsi="Garamond"/>
        </w:rPr>
        <w:t xml:space="preserve">How does Kowalczyk improve upon Hare’s argument </w:t>
      </w:r>
      <w:r w:rsidR="00AF5975">
        <w:rPr>
          <w:rFonts w:ascii="Garamond" w:hAnsi="Garamond"/>
        </w:rPr>
        <w:t>regarding cyclic preferences?</w:t>
      </w:r>
      <w:r w:rsidR="00272122">
        <w:rPr>
          <w:rFonts w:ascii="Garamond" w:hAnsi="Garamond"/>
        </w:rPr>
        <w:t xml:space="preserve"> </w:t>
      </w:r>
      <w:r w:rsidR="00AF5975">
        <w:rPr>
          <w:rFonts w:ascii="Garamond" w:hAnsi="Garamond"/>
        </w:rPr>
        <w:t xml:space="preserve"> What is the Timer Case?</w:t>
      </w:r>
      <w:r w:rsidR="0047281D">
        <w:rPr>
          <w:rFonts w:ascii="Garamond" w:hAnsi="Garamond"/>
        </w:rPr>
        <w:t xml:space="preserve"> What is ‘causal fetishism’?</w:t>
      </w:r>
    </w:p>
    <w:p w14:paraId="63FE6424" w14:textId="51FF0377" w:rsidR="00A474C8" w:rsidRPr="00787C3E" w:rsidRDefault="00A474C8" w:rsidP="00A474C8">
      <w:pPr>
        <w:spacing w:line="240" w:lineRule="auto"/>
        <w:rPr>
          <w:rFonts w:ascii="Garamond" w:hAnsi="Garamond"/>
          <w:b/>
          <w:bCs/>
        </w:rPr>
      </w:pPr>
    </w:p>
    <w:p w14:paraId="3154B503" w14:textId="77777777" w:rsidR="00A474C8" w:rsidRDefault="00A474C8" w:rsidP="00A474C8"/>
    <w:p w14:paraId="53BC0F3F" w14:textId="77777777" w:rsidR="003A6FAE" w:rsidRPr="007F0DFA" w:rsidRDefault="003A6FAE" w:rsidP="003A6FAE"/>
    <w:p w14:paraId="70A1B615" w14:textId="27592E9D" w:rsidR="003A6FAE" w:rsidRDefault="003A6FAE" w:rsidP="003A6FAE"/>
    <w:p w14:paraId="3F24CF9E" w14:textId="328E0B02" w:rsidR="00DC0665" w:rsidRDefault="00DC0665"/>
    <w:sectPr w:rsidR="00DC0665" w:rsidSect="00F67CD9">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11D3D" w14:textId="77777777" w:rsidR="00E8443C" w:rsidRDefault="00E8443C" w:rsidP="00F67CD9">
      <w:pPr>
        <w:spacing w:after="0" w:line="240" w:lineRule="auto"/>
      </w:pPr>
      <w:r>
        <w:separator/>
      </w:r>
    </w:p>
  </w:endnote>
  <w:endnote w:type="continuationSeparator" w:id="0">
    <w:p w14:paraId="1D39F275" w14:textId="77777777" w:rsidR="00E8443C" w:rsidRDefault="00E8443C" w:rsidP="00F6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48704820"/>
      <w:docPartObj>
        <w:docPartGallery w:val="Page Numbers (Bottom of Page)"/>
        <w:docPartUnique/>
      </w:docPartObj>
    </w:sdtPr>
    <w:sdtContent>
      <w:p w14:paraId="2ED824DB" w14:textId="7868FD35" w:rsidR="00F67CD9" w:rsidRDefault="00F67CD9" w:rsidP="00F1079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589851" w14:textId="77777777" w:rsidR="00F67CD9" w:rsidRDefault="00F67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2795655"/>
      <w:docPartObj>
        <w:docPartGallery w:val="Page Numbers (Bottom of Page)"/>
        <w:docPartUnique/>
      </w:docPartObj>
    </w:sdtPr>
    <w:sdtContent>
      <w:p w14:paraId="3CC206B0" w14:textId="4FBB8FDF" w:rsidR="00F67CD9" w:rsidRDefault="00F67CD9" w:rsidP="00F10793">
        <w:pPr>
          <w:pStyle w:val="Footer"/>
          <w:framePr w:wrap="none" w:vAnchor="text" w:hAnchor="margin" w:xAlign="center" w:y="1"/>
          <w:rPr>
            <w:rStyle w:val="PageNumber"/>
          </w:rPr>
        </w:pPr>
        <w:r w:rsidRPr="00F67CD9">
          <w:rPr>
            <w:rStyle w:val="PageNumber"/>
            <w:rFonts w:ascii="Garamond" w:hAnsi="Garamond"/>
          </w:rPr>
          <w:fldChar w:fldCharType="begin"/>
        </w:r>
        <w:r w:rsidRPr="00F67CD9">
          <w:rPr>
            <w:rStyle w:val="PageNumber"/>
            <w:rFonts w:ascii="Garamond" w:hAnsi="Garamond"/>
          </w:rPr>
          <w:instrText xml:space="preserve"> PAGE </w:instrText>
        </w:r>
        <w:r w:rsidRPr="00F67CD9">
          <w:rPr>
            <w:rStyle w:val="PageNumber"/>
            <w:rFonts w:ascii="Garamond" w:hAnsi="Garamond"/>
          </w:rPr>
          <w:fldChar w:fldCharType="separate"/>
        </w:r>
        <w:r w:rsidRPr="00F67CD9">
          <w:rPr>
            <w:rStyle w:val="PageNumber"/>
            <w:rFonts w:ascii="Garamond" w:hAnsi="Garamond"/>
            <w:noProof/>
          </w:rPr>
          <w:t>2</w:t>
        </w:r>
        <w:r w:rsidRPr="00F67CD9">
          <w:rPr>
            <w:rStyle w:val="PageNumber"/>
            <w:rFonts w:ascii="Garamond" w:hAnsi="Garamond"/>
          </w:rPr>
          <w:fldChar w:fldCharType="end"/>
        </w:r>
      </w:p>
    </w:sdtContent>
  </w:sdt>
  <w:p w14:paraId="45CBF6A6" w14:textId="77777777" w:rsidR="00F67CD9" w:rsidRDefault="00F67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6F757" w14:textId="77777777" w:rsidR="00E8443C" w:rsidRDefault="00E8443C" w:rsidP="00F67CD9">
      <w:pPr>
        <w:spacing w:after="0" w:line="240" w:lineRule="auto"/>
      </w:pPr>
      <w:r>
        <w:separator/>
      </w:r>
    </w:p>
  </w:footnote>
  <w:footnote w:type="continuationSeparator" w:id="0">
    <w:p w14:paraId="12E74609" w14:textId="77777777" w:rsidR="00E8443C" w:rsidRDefault="00E8443C" w:rsidP="00F67C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14513"/>
    <w:multiLevelType w:val="hybridMultilevel"/>
    <w:tmpl w:val="60D686A2"/>
    <w:lvl w:ilvl="0" w:tplc="7F7C5E2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32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FAE"/>
    <w:rsid w:val="00081129"/>
    <w:rsid w:val="00221DCA"/>
    <w:rsid w:val="00272122"/>
    <w:rsid w:val="003947B8"/>
    <w:rsid w:val="003A6FAE"/>
    <w:rsid w:val="0043690F"/>
    <w:rsid w:val="0047281D"/>
    <w:rsid w:val="004D4894"/>
    <w:rsid w:val="004E398B"/>
    <w:rsid w:val="00640F5D"/>
    <w:rsid w:val="0067104D"/>
    <w:rsid w:val="007629C3"/>
    <w:rsid w:val="0078529F"/>
    <w:rsid w:val="00977D49"/>
    <w:rsid w:val="00A474C8"/>
    <w:rsid w:val="00A74B46"/>
    <w:rsid w:val="00AF5975"/>
    <w:rsid w:val="00BD6FD7"/>
    <w:rsid w:val="00C9443F"/>
    <w:rsid w:val="00CA7B2E"/>
    <w:rsid w:val="00DC0665"/>
    <w:rsid w:val="00E8443C"/>
    <w:rsid w:val="00EB2F7F"/>
    <w:rsid w:val="00F31658"/>
    <w:rsid w:val="00F4623E"/>
    <w:rsid w:val="00F63FB9"/>
    <w:rsid w:val="00F67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FC0B"/>
  <w15:chartTrackingRefBased/>
  <w15:docId w15:val="{888DD7D0-0A8E-AC48-A36F-F61ED768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FAE"/>
  </w:style>
  <w:style w:type="paragraph" w:styleId="Heading1">
    <w:name w:val="heading 1"/>
    <w:basedOn w:val="Normal"/>
    <w:next w:val="Normal"/>
    <w:link w:val="Heading1Char"/>
    <w:uiPriority w:val="9"/>
    <w:qFormat/>
    <w:rsid w:val="003A6F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6F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6F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6F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6F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6F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6F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6F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6F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6F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6F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6F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6F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6F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6F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6F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6F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6FAE"/>
    <w:rPr>
      <w:rFonts w:eastAsiaTheme="majorEastAsia" w:cstheme="majorBidi"/>
      <w:color w:val="272727" w:themeColor="text1" w:themeTint="D8"/>
    </w:rPr>
  </w:style>
  <w:style w:type="paragraph" w:styleId="Title">
    <w:name w:val="Title"/>
    <w:basedOn w:val="Normal"/>
    <w:next w:val="Normal"/>
    <w:link w:val="TitleChar"/>
    <w:uiPriority w:val="10"/>
    <w:qFormat/>
    <w:rsid w:val="003A6F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6F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6F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6F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6FAE"/>
    <w:pPr>
      <w:spacing w:before="160"/>
      <w:jc w:val="center"/>
    </w:pPr>
    <w:rPr>
      <w:i/>
      <w:iCs/>
      <w:color w:val="404040" w:themeColor="text1" w:themeTint="BF"/>
    </w:rPr>
  </w:style>
  <w:style w:type="character" w:customStyle="1" w:styleId="QuoteChar">
    <w:name w:val="Quote Char"/>
    <w:basedOn w:val="DefaultParagraphFont"/>
    <w:link w:val="Quote"/>
    <w:uiPriority w:val="29"/>
    <w:rsid w:val="003A6FAE"/>
    <w:rPr>
      <w:i/>
      <w:iCs/>
      <w:color w:val="404040" w:themeColor="text1" w:themeTint="BF"/>
    </w:rPr>
  </w:style>
  <w:style w:type="paragraph" w:styleId="ListParagraph">
    <w:name w:val="List Paragraph"/>
    <w:basedOn w:val="Normal"/>
    <w:uiPriority w:val="34"/>
    <w:qFormat/>
    <w:rsid w:val="003A6FAE"/>
    <w:pPr>
      <w:ind w:left="720"/>
      <w:contextualSpacing/>
    </w:pPr>
  </w:style>
  <w:style w:type="character" w:styleId="IntenseEmphasis">
    <w:name w:val="Intense Emphasis"/>
    <w:basedOn w:val="DefaultParagraphFont"/>
    <w:uiPriority w:val="21"/>
    <w:qFormat/>
    <w:rsid w:val="003A6FAE"/>
    <w:rPr>
      <w:i/>
      <w:iCs/>
      <w:color w:val="0F4761" w:themeColor="accent1" w:themeShade="BF"/>
    </w:rPr>
  </w:style>
  <w:style w:type="paragraph" w:styleId="IntenseQuote">
    <w:name w:val="Intense Quote"/>
    <w:basedOn w:val="Normal"/>
    <w:next w:val="Normal"/>
    <w:link w:val="IntenseQuoteChar"/>
    <w:uiPriority w:val="30"/>
    <w:qFormat/>
    <w:rsid w:val="003A6F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6FAE"/>
    <w:rPr>
      <w:i/>
      <w:iCs/>
      <w:color w:val="0F4761" w:themeColor="accent1" w:themeShade="BF"/>
    </w:rPr>
  </w:style>
  <w:style w:type="character" w:styleId="IntenseReference">
    <w:name w:val="Intense Reference"/>
    <w:basedOn w:val="DefaultParagraphFont"/>
    <w:uiPriority w:val="32"/>
    <w:qFormat/>
    <w:rsid w:val="003A6FAE"/>
    <w:rPr>
      <w:b/>
      <w:bCs/>
      <w:smallCaps/>
      <w:color w:val="0F4761" w:themeColor="accent1" w:themeShade="BF"/>
      <w:spacing w:val="5"/>
    </w:rPr>
  </w:style>
  <w:style w:type="paragraph" w:styleId="Footer">
    <w:name w:val="footer"/>
    <w:basedOn w:val="Normal"/>
    <w:link w:val="FooterChar"/>
    <w:uiPriority w:val="99"/>
    <w:unhideWhenUsed/>
    <w:rsid w:val="00F67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CD9"/>
  </w:style>
  <w:style w:type="character" w:styleId="PageNumber">
    <w:name w:val="page number"/>
    <w:basedOn w:val="DefaultParagraphFont"/>
    <w:uiPriority w:val="99"/>
    <w:semiHidden/>
    <w:unhideWhenUsed/>
    <w:rsid w:val="00F67CD9"/>
  </w:style>
  <w:style w:type="paragraph" w:styleId="Header">
    <w:name w:val="header"/>
    <w:basedOn w:val="Normal"/>
    <w:link w:val="HeaderChar"/>
    <w:uiPriority w:val="99"/>
    <w:unhideWhenUsed/>
    <w:rsid w:val="00F67C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C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Curran</dc:creator>
  <cp:keywords/>
  <dc:description/>
  <cp:lastModifiedBy>Emma Curran</cp:lastModifiedBy>
  <cp:revision>10</cp:revision>
  <dcterms:created xsi:type="dcterms:W3CDTF">2024-10-11T13:54:00Z</dcterms:created>
  <dcterms:modified xsi:type="dcterms:W3CDTF">2024-11-21T21:07:00Z</dcterms:modified>
</cp:coreProperties>
</file>